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FF0000"/>
          <w:spacing w:val="-20"/>
          <w:sz w:val="36"/>
          <w:szCs w:val="36"/>
        </w:rPr>
      </w:pPr>
      <w:r>
        <w:rPr>
          <w:rFonts w:hint="eastAsia" w:ascii="宋体" w:hAnsi="宋体" w:eastAsia="宋体" w:cs="宋体"/>
          <w:b/>
          <w:color w:val="FF0000"/>
          <w:spacing w:val="-20"/>
          <w:sz w:val="36"/>
          <w:szCs w:val="36"/>
        </w:rPr>
        <w:t>关于举办</w:t>
      </w:r>
      <w:r>
        <w:rPr>
          <w:rFonts w:hint="eastAsia" w:ascii="宋体" w:hAnsi="宋体" w:eastAsia="宋体" w:cs="宋体"/>
          <w:b/>
          <w:color w:val="FF0000"/>
          <w:spacing w:val="-20"/>
          <w:sz w:val="36"/>
          <w:szCs w:val="36"/>
          <w:lang w:val="en-US" w:eastAsia="zh-CN"/>
        </w:rPr>
        <w:t>CMA/CNAS二</w:t>
      </w:r>
      <w:r>
        <w:rPr>
          <w:rFonts w:hint="eastAsia" w:ascii="宋体" w:hAnsi="宋体" w:eastAsia="宋体" w:cs="宋体"/>
          <w:b/>
          <w:color w:val="FF0000"/>
          <w:spacing w:val="-20"/>
          <w:sz w:val="36"/>
          <w:szCs w:val="36"/>
        </w:rPr>
        <w:t>合一内审员培训班</w:t>
      </w:r>
      <w:r>
        <w:rPr>
          <w:rFonts w:hint="eastAsia" w:ascii="宋体" w:hAnsi="宋体" w:eastAsia="宋体" w:cs="宋体"/>
          <w:b/>
          <w:color w:val="FF0000"/>
          <w:spacing w:val="-20"/>
          <w:sz w:val="36"/>
          <w:szCs w:val="36"/>
          <w:lang w:val="en-US" w:eastAsia="zh-CN"/>
        </w:rPr>
        <w:t>的</w:t>
      </w:r>
      <w:r>
        <w:rPr>
          <w:rFonts w:hint="eastAsia" w:ascii="宋体" w:hAnsi="宋体" w:eastAsia="宋体" w:cs="宋体"/>
          <w:b/>
          <w:color w:val="FF0000"/>
          <w:spacing w:val="-20"/>
          <w:sz w:val="36"/>
          <w:szCs w:val="36"/>
        </w:rPr>
        <w:t>通知</w:t>
      </w:r>
    </w:p>
    <w:p>
      <w:pPr>
        <w:jc w:val="center"/>
        <w:rPr>
          <w:rFonts w:hint="eastAsia" w:ascii="宋体" w:hAnsi="宋体" w:eastAsia="宋体" w:cs="宋体"/>
          <w:b/>
          <w:color w:val="FF0000"/>
          <w:spacing w:val="-2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国家认证认可监督管理委员会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发布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了《RB/T 045-2020检验检测机构管理和技术能力评价 内部审核要求》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于2020年12月1号在全国正式实施，这是国家认监委首次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发布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的有关检验检测内部审核的行业标准，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各类检验检测机构、校准实验室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在开展内部审核时都需要依照该行业标准实施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另外2023年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新版《检验检测机构资质认定评审准则》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发布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各机构、各实验室内审员必须及时跟踪了解。为此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上海市计量协会将于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202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日至18日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举办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合一内审员培训班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《检验检测机构资质认定评审准则》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实验室认可CNAS-CL01：2018《检测与校准实验室能力认可准则》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，特邀全国认证认可、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校准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检测领域资深专家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/主任评审员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授课，请大家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踊跃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报名。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具体事项通知如下：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u w:val="none"/>
          <w:lang w:val="en-US" w:eastAsia="zh-CN"/>
        </w:rPr>
        <w:t>培训承办：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none"/>
          <w:lang w:val="en-US" w:eastAsia="zh-CN"/>
        </w:rPr>
        <w:t>本次培训将委托上海</w:t>
      </w:r>
      <w:r>
        <w:rPr>
          <w:rFonts w:hint="eastAsia" w:ascii="宋体" w:hAnsi="宋体" w:eastAsia="宋体" w:cs="宋体"/>
          <w:bCs/>
          <w:sz w:val="24"/>
          <w:szCs w:val="24"/>
          <w:u w:val="none"/>
        </w:rPr>
        <w:t>华东计量检测事务所有限公司承办</w:t>
      </w:r>
      <w:r>
        <w:rPr>
          <w:rFonts w:hint="eastAsia" w:ascii="宋体" w:hAnsi="宋体" w:eastAsia="宋体" w:cs="宋体"/>
          <w:bCs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  <w:u w:val="none"/>
          <w:lang w:val="en-US" w:eastAsia="zh-CN"/>
        </w:rPr>
        <w:t>由该事务所组织报名、收费及授课保障</w:t>
      </w:r>
      <w:r>
        <w:rPr>
          <w:rFonts w:hint="eastAsia" w:ascii="宋体" w:hAnsi="宋体" w:eastAsia="宋体" w:cs="宋体"/>
          <w:bCs/>
          <w:sz w:val="24"/>
          <w:szCs w:val="24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1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二、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报名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时间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1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2024年即日起至前3天：上午 9:00〜下午16：00(节假日除外)。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12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培训时间：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 w:firstLine="194" w:firstLineChars="7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2024年</w:t>
      </w:r>
      <w:r>
        <w:rPr>
          <w:rFonts w:hint="default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 xml:space="preserve">16〜18日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1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、培训地点：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1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上海市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徐汇区桂箐路</w:t>
      </w:r>
      <w:r>
        <w:rPr>
          <w:rFonts w:hint="default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69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号</w:t>
      </w:r>
      <w:r>
        <w:rPr>
          <w:rFonts w:hint="default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号楼</w:t>
      </w:r>
      <w:r>
        <w:rPr>
          <w:rFonts w:hint="default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1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、培训内容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1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1. 新版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检验检测机构资质认定评审准则》解读；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1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CNAS-CL01：2018《检测与校准实验室能力认可准则》解读；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1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RB/T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214-2017《检验检测机构资质认定能力评价 检验检测机构通用要求》解读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1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 xml:space="preserve">4. 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RB/T 045-2020《检验检测机构管理和技术能力评价 内部审核要求》解读；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1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 xml:space="preserve">5. 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内审慨念、作用及要求；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1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 xml:space="preserve">6. 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内审程序及内审计划、内审检查表的编制；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1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7. 内审技巧、内审情景演示、不符合项报告编写案例讲解；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1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8. 答疑。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1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、授课老师：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教授级高级工程师（三级教授），国家一级注册计量师、中国合格评定国家认可委员会实验室认可注册主任评审员、能力验证提供者注册评审员、国家级资质认定评审员、国家级法定计量检定机构考评员、国家计量标准一级考评员。</w:t>
      </w:r>
    </w:p>
    <w:p>
      <w:pPr>
        <w:spacing w:line="440" w:lineRule="exact"/>
        <w:ind w:firstLine="512" w:firstLineChars="20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七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、报名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方式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：</w:t>
      </w:r>
    </w:p>
    <w:p>
      <w:pPr>
        <w:spacing w:line="440" w:lineRule="exact"/>
        <w:ind w:left="4634" w:leftChars="256" w:hanging="4096" w:hangingChars="1600"/>
        <w:jc w:val="left"/>
        <w:rPr>
          <w:rFonts w:hint="eastAsia" w:ascii="宋体" w:hAnsi="宋体" w:eastAsia="宋体" w:cs="宋体"/>
          <w:i w:val="0"/>
          <w:iCs w:val="0"/>
          <w:caps w:val="0"/>
          <w:color w:val="0000FF"/>
          <w:spacing w:val="8"/>
          <w:sz w:val="27"/>
          <w:szCs w:val="27"/>
          <w:u w:val="singl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1、网站报名：考生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可登录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网站报名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8"/>
          <w:sz w:val="27"/>
          <w:szCs w:val="27"/>
          <w:u w:val="single"/>
          <w:shd w:val="clear" w:fill="FFFFFF"/>
        </w:rPr>
        <w:t>https://www.shjlxh.org.cn/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8"/>
          <w:sz w:val="27"/>
          <w:szCs w:val="27"/>
          <w:u w:val="single"/>
          <w:shd w:val="clear" w:fill="FFFFFF"/>
          <w:lang w:val="en-US" w:eastAsia="zh-CN"/>
        </w:rPr>
        <w:t>；</w:t>
      </w:r>
    </w:p>
    <w:p>
      <w:pPr>
        <w:spacing w:line="440" w:lineRule="exact"/>
        <w:ind w:firstLine="4862" w:firstLineChars="170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7"/>
          <w:szCs w:val="27"/>
          <w:shd w:val="clear" w:fill="FFFFFF"/>
          <w:lang w:val="en-US" w:eastAsia="zh-CN"/>
        </w:rPr>
        <w:t xml:space="preserve">或 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7"/>
          <w:szCs w:val="27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7"/>
          <w:szCs w:val="27"/>
          <w:shd w:val="clear" w:fill="FFFFFF"/>
        </w:rPr>
        <w:instrText xml:space="preserve"> HYPERLINK "http://www.shjl.org，"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7"/>
          <w:szCs w:val="27"/>
          <w:shd w:val="clear" w:fill="FFFFFF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8"/>
          <w:sz w:val="27"/>
          <w:szCs w:val="27"/>
          <w:u w:val="single"/>
          <w:shd w:val="clear" w:fill="FFFFFF"/>
        </w:rPr>
        <w:t>http://www.shjl.org/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7"/>
          <w:szCs w:val="27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7"/>
          <w:szCs w:val="27"/>
          <w:shd w:val="clear" w:fill="FFFFFF"/>
        </w:rPr>
        <w:fldChar w:fldCharType="end"/>
      </w:r>
    </w:p>
    <w:p>
      <w:pPr>
        <w:numPr>
          <w:ilvl w:val="0"/>
          <w:numId w:val="0"/>
        </w:numPr>
        <w:spacing w:line="440" w:lineRule="exact"/>
        <w:ind w:leftChars="20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3761740</wp:posOffset>
            </wp:positionH>
            <wp:positionV relativeFrom="paragraph">
              <wp:posOffset>151765</wp:posOffset>
            </wp:positionV>
            <wp:extent cx="1426845" cy="1426845"/>
            <wp:effectExtent l="0" t="0" r="1905" b="1905"/>
            <wp:wrapNone/>
            <wp:docPr id="1" name="图片 1" descr="二合一内审员微信小程序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合一内审员微信小程序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3"/>
        </w:numPr>
        <w:spacing w:line="440" w:lineRule="exact"/>
        <w:ind w:left="0" w:leftChars="0" w:firstLine="570" w:firstLineChars="223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微信小程序报名：</w:t>
      </w:r>
    </w:p>
    <w:p>
      <w:pPr>
        <w:widowControl w:val="0"/>
        <w:numPr>
          <w:ilvl w:val="0"/>
          <w:numId w:val="0"/>
        </w:numPr>
        <w:spacing w:line="440" w:lineRule="exact"/>
        <w:ind w:firstLine="768" w:firstLineChars="300"/>
        <w:jc w:val="left"/>
        <w:rPr>
          <w:rFonts w:hint="default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（1）、扫描右方二维码进入报名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default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 xml:space="preserve">      （2）、搜索华东计量检测事务所小程序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</w:p>
    <w:p>
      <w:pPr>
        <w:spacing w:line="440" w:lineRule="exact"/>
        <w:ind w:left="0" w:leftChars="0" w:firstLine="512" w:firstLineChars="20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</w:p>
    <w:p>
      <w:pPr>
        <w:spacing w:line="440" w:lineRule="exact"/>
        <w:ind w:left="794" w:leftChars="256" w:hanging="256" w:hangingChars="100"/>
        <w:jc w:val="left"/>
        <w:rPr>
          <w:rFonts w:hint="default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邮箱报名：考生可填好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培训申请表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申请表见附表），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发送至邮箱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18121309652@163.com</w:t>
      </w:r>
    </w:p>
    <w:p>
      <w:pPr>
        <w:numPr>
          <w:ilvl w:val="0"/>
          <w:numId w:val="0"/>
        </w:numPr>
        <w:spacing w:line="440" w:lineRule="exact"/>
        <w:ind w:firstLine="512" w:firstLineChars="20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八、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缴费方式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：</w:t>
      </w:r>
    </w:p>
    <w:p>
      <w:pPr>
        <w:numPr>
          <w:ilvl w:val="0"/>
          <w:numId w:val="0"/>
        </w:numPr>
        <w:spacing w:line="440" w:lineRule="exact"/>
        <w:ind w:firstLine="512" w:firstLineChars="20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１、银行转帐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上海华东计量检测事务所有限公司</w:t>
      </w:r>
    </w:p>
    <w:p>
      <w:pPr>
        <w:spacing w:line="440" w:lineRule="exact"/>
        <w:ind w:firstLine="512" w:firstLineChars="20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3815080</wp:posOffset>
            </wp:positionH>
            <wp:positionV relativeFrom="paragraph">
              <wp:posOffset>259080</wp:posOffset>
            </wp:positionV>
            <wp:extent cx="953770" cy="1240155"/>
            <wp:effectExtent l="0" t="0" r="17780" b="17145"/>
            <wp:wrapNone/>
            <wp:docPr id="2" name="图片 2" descr="支付宝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支付宝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开户银行：上海银行股份有限公司徐家汇支行</w:t>
      </w:r>
    </w:p>
    <w:p>
      <w:pPr>
        <w:spacing w:line="440" w:lineRule="exact"/>
        <w:ind w:firstLine="512" w:firstLineChars="20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帐号：31692600002033470</w:t>
      </w:r>
    </w:p>
    <w:p>
      <w:pPr>
        <w:spacing w:line="440" w:lineRule="exact"/>
        <w:ind w:firstLine="512" w:firstLineChars="20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税号：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91310118767904072W</w:t>
      </w:r>
    </w:p>
    <w:p>
      <w:pPr>
        <w:spacing w:line="440" w:lineRule="exact"/>
        <w:ind w:firstLine="512" w:firstLineChars="200"/>
        <w:jc w:val="left"/>
        <w:rPr>
          <w:rFonts w:hint="default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 xml:space="preserve">2、右方支付宝扫码支付： </w:t>
      </w:r>
    </w:p>
    <w:p>
      <w:pPr>
        <w:spacing w:line="440" w:lineRule="exact"/>
        <w:ind w:firstLine="512" w:firstLineChars="20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3、微信小程序报名查直接在小程序内付费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如银行转账或支付宝扫码支付的，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完成付费后请将汇款凭证和单位开票信息发到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上海华东计量检测事务所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培训部邮箱：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instrText xml:space="preserve"> HYPERLINK "mailto:13816637321@126.com"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18121309652@163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.com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4、现场现金缴费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九、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收费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标准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1、双证:1500元/人（CNAS实验室认可和CMA检验检测机构资质认定）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2、单证:1400元/人（CNAS实验室认可和CMA检验检测机构资质认定二选一）</w:t>
      </w:r>
      <w:r>
        <w:rPr>
          <w:rFonts w:hint="default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十、咨询方式：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24" w:firstLineChars="4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2"/>
          <w:sz w:val="24"/>
          <w:szCs w:val="24"/>
          <w:shd w:val="clear" w:fill="FFFFFF"/>
          <w:lang w:val="en-US" w:eastAsia="zh-CN" w:bidi="ar-SA"/>
        </w:rPr>
        <w:t>咨询时间为工作日的9:00-11:30、13:00-16:00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24" w:firstLineChars="4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 xml:space="preserve">咨询电话：54045035　蒋老师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24" w:firstLineChars="4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上海市计量协会 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上海华东计量检测事务所有限公司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二〇二四年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月</w:t>
      </w:r>
      <w:bookmarkStart w:id="0" w:name="_GoBack"/>
      <w:r>
        <w:rPr>
          <w:rFonts w:hint="eastAsia" w:ascii="宋体" w:hAnsi="宋体" w:eastAsia="宋体" w:cs="宋体"/>
          <w:b w:val="0"/>
          <w:bCs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3442335</wp:posOffset>
            </wp:positionH>
            <wp:positionV relativeFrom="paragraph">
              <wp:posOffset>-706755</wp:posOffset>
            </wp:positionV>
            <wp:extent cx="1353820" cy="1353820"/>
            <wp:effectExtent l="0" t="0" r="17780" b="17780"/>
            <wp:wrapNone/>
            <wp:docPr id="7" name="图片 7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372110</wp:posOffset>
            </wp:positionH>
            <wp:positionV relativeFrom="paragraph">
              <wp:posOffset>-685800</wp:posOffset>
            </wp:positionV>
            <wp:extent cx="1496695" cy="1535430"/>
            <wp:effectExtent l="0" t="0" r="0" b="762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535430"/>
                    </a:xfrm>
                    <a:prstGeom prst="rect">
                      <a:avLst/>
                    </a:prstGeom>
                    <a:solidFill>
                      <a:schemeClr val="accent1">
                        <a:alpha val="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十一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日   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二〇二四年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十一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eastAsia" w:ascii="Times New Roman" w:hAnsi="Times New Roman" w:eastAsia="仿宋_GB2312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ascii="Arial" w:hAnsi="Arial" w:eastAsia="仿宋_GB2312" w:cs="Arial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CMA/CNAS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合一内审员培训班</w:t>
      </w:r>
      <w:r>
        <w:rPr>
          <w:rFonts w:ascii="Times New Roman" w:hAnsi="Times New Roman" w:eastAsia="仿宋_GB2312" w:cs="Times New Roman"/>
          <w:b/>
          <w:sz w:val="28"/>
          <w:szCs w:val="28"/>
        </w:rPr>
        <w:t>报</w:t>
      </w:r>
      <w:r>
        <w:rPr>
          <w:rFonts w:eastAsia="仿宋_GB2312"/>
          <w:b/>
          <w:sz w:val="28"/>
          <w:szCs w:val="28"/>
        </w:rPr>
        <w:t>名回执</w:t>
      </w:r>
    </w:p>
    <w:tbl>
      <w:tblPr>
        <w:tblStyle w:val="2"/>
        <w:tblW w:w="8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787"/>
        <w:gridCol w:w="1872"/>
        <w:gridCol w:w="170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单位名称</w:t>
            </w:r>
          </w:p>
        </w:tc>
        <w:tc>
          <w:tcPr>
            <w:tcW w:w="7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_GB2312" w:cs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通讯地址</w:t>
            </w:r>
          </w:p>
        </w:tc>
        <w:tc>
          <w:tcPr>
            <w:tcW w:w="7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_GB2312" w:cs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单位电话</w:t>
            </w:r>
          </w:p>
        </w:tc>
        <w:tc>
          <w:tcPr>
            <w:tcW w:w="26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传　　真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sz w:val="28"/>
              </w:rPr>
            </w:pPr>
            <w:r>
              <w:rPr>
                <w:rFonts w:ascii="Arial" w:hAnsi="Arial" w:eastAsia="仿宋" w:cs="Arial"/>
                <w:sz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联系人</w:t>
            </w:r>
          </w:p>
        </w:tc>
        <w:tc>
          <w:tcPr>
            <w:tcW w:w="26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手　　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Arial" w:hAnsi="Arial" w:eastAsia="仿宋" w:cs="Arial"/>
                <w:sz w:val="24"/>
                <w:lang w:eastAsia="zh-CN"/>
              </w:rPr>
            </w:pPr>
            <w:r>
              <w:rPr>
                <w:rFonts w:hint="eastAsia" w:ascii="Arial" w:hAnsi="Arial" w:eastAsia="仿宋" w:cs="Arial"/>
                <w:sz w:val="24"/>
                <w:lang w:val="en-US" w:eastAsia="zh-CN"/>
              </w:rPr>
              <w:t>电子邮箱</w:t>
            </w:r>
          </w:p>
        </w:tc>
        <w:tc>
          <w:tcPr>
            <w:tcW w:w="26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邮　　编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姓　名</w:t>
            </w:r>
          </w:p>
        </w:tc>
        <w:tc>
          <w:tcPr>
            <w:tcW w:w="26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手　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姓　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手　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color w:val="FF0000"/>
                <w:sz w:val="28"/>
              </w:rPr>
            </w:pPr>
          </w:p>
        </w:tc>
        <w:tc>
          <w:tcPr>
            <w:tcW w:w="26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color w:val="FF0000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color w:val="FF0000"/>
                <w:sz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color w:val="FF0000"/>
                <w:sz w:val="28"/>
              </w:rPr>
            </w:pPr>
          </w:p>
        </w:tc>
        <w:tc>
          <w:tcPr>
            <w:tcW w:w="26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color w:val="FF0000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color w:val="FF0000"/>
                <w:sz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color w:val="FF0000"/>
                <w:sz w:val="28"/>
              </w:rPr>
            </w:pPr>
          </w:p>
        </w:tc>
        <w:tc>
          <w:tcPr>
            <w:tcW w:w="26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color w:val="FF0000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color w:val="FF0000"/>
                <w:sz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color w:val="FF0000"/>
                <w:sz w:val="28"/>
              </w:rPr>
            </w:pPr>
          </w:p>
        </w:tc>
        <w:tc>
          <w:tcPr>
            <w:tcW w:w="26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color w:val="FF0000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color w:val="FF0000"/>
                <w:sz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color w:val="FF0000"/>
                <w:sz w:val="28"/>
              </w:rPr>
            </w:pPr>
          </w:p>
        </w:tc>
        <w:tc>
          <w:tcPr>
            <w:tcW w:w="26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color w:val="FF0000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color w:val="FF0000"/>
                <w:sz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2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color w:val="FF0000"/>
                <w:sz w:val="28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证书勾选</w:t>
            </w:r>
          </w:p>
        </w:tc>
        <w:tc>
          <w:tcPr>
            <w:tcW w:w="64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Arial" w:hAnsi="Arial" w:eastAsia="仿宋" w:cs="Arial"/>
                <w:color w:val="FF0000"/>
                <w:sz w:val="28"/>
              </w:rPr>
            </w:pP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 xml:space="preserve"> </w:t>
            </w:r>
            <w:r>
              <w:rPr>
                <w:rFonts w:ascii="Arial" w:hAnsi="Arial" w:eastAsia="仿宋_GB2312" w:cs="Arial"/>
                <w:sz w:val="24"/>
              </w:rPr>
              <w:sym w:font="Wingdings" w:char="00A8"/>
            </w:r>
            <w:r>
              <w:rPr>
                <w:rFonts w:ascii="Arial" w:hAnsi="Arial" w:eastAsia="仿宋_GB2312" w:cs="Arial"/>
                <w:sz w:val="24"/>
              </w:rPr>
              <w:t xml:space="preserve"> </w:t>
            </w:r>
            <w:r>
              <w:rPr>
                <w:rFonts w:hint="eastAsia" w:ascii="Arial" w:hAnsi="Arial" w:eastAsia="仿宋_GB2312" w:cs="Arial"/>
                <w:sz w:val="24"/>
              </w:rPr>
              <w:t>CNAS</w:t>
            </w:r>
            <w:r>
              <w:rPr>
                <w:rFonts w:hint="eastAsia" w:ascii="楷体" w:hAnsi="楷体" w:eastAsia="楷体"/>
                <w:sz w:val="24"/>
              </w:rPr>
              <w:t>实验室认可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</w:t>
            </w:r>
            <w:r>
              <w:rPr>
                <w:rFonts w:ascii="Arial" w:hAnsi="Arial" w:eastAsia="仿宋_GB2312" w:cs="Arial"/>
                <w:sz w:val="24"/>
              </w:rPr>
              <w:t xml:space="preserve"> 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 xml:space="preserve">  </w:t>
            </w:r>
            <w:r>
              <w:rPr>
                <w:rFonts w:ascii="Arial" w:hAnsi="Arial" w:eastAsia="仿宋_GB2312" w:cs="Arial"/>
                <w:sz w:val="24"/>
              </w:rPr>
              <w:sym w:font="Wingdings" w:char="00A8"/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仿宋_GB2312" w:cs="Arial"/>
                <w:sz w:val="24"/>
              </w:rPr>
              <w:t>CMA</w:t>
            </w:r>
            <w:r>
              <w:rPr>
                <w:rFonts w:hint="eastAsia" w:ascii="楷体" w:hAnsi="楷体" w:eastAsia="楷体"/>
                <w:sz w:val="24"/>
              </w:rPr>
              <w:t>资质认定</w:t>
            </w:r>
            <w:r>
              <w:rPr>
                <w:rFonts w:ascii="Arial" w:hAnsi="Arial" w:eastAsia="仿宋_GB2312" w:cs="Arial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2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ascii="Arial" w:hAnsi="Arial" w:eastAsia="仿宋_GB2312" w:cs="Arial"/>
                <w:sz w:val="24"/>
              </w:rPr>
              <w:t>发票</w:t>
            </w:r>
            <w:r>
              <w:rPr>
                <w:rFonts w:hint="eastAsia" w:ascii="Arial" w:hAnsi="Arial" w:eastAsia="仿宋_GB2312" w:cs="Arial"/>
                <w:sz w:val="24"/>
              </w:rPr>
              <w:t>勾选</w:t>
            </w:r>
          </w:p>
        </w:tc>
        <w:tc>
          <w:tcPr>
            <w:tcW w:w="64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 xml:space="preserve"> </w:t>
            </w:r>
            <w:r>
              <w:rPr>
                <w:rFonts w:ascii="Arial" w:hAnsi="Arial" w:eastAsia="仿宋_GB2312" w:cs="Arial"/>
                <w:sz w:val="24"/>
              </w:rPr>
              <w:sym w:font="Wingdings" w:char="00A8"/>
            </w:r>
            <w:r>
              <w:rPr>
                <w:rFonts w:ascii="Arial" w:hAnsi="Arial" w:eastAsia="仿宋_GB2312" w:cs="Arial"/>
                <w:sz w:val="24"/>
              </w:rPr>
              <w:t xml:space="preserve"> 增值税专用发票    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 xml:space="preserve"> </w:t>
            </w:r>
            <w:r>
              <w:rPr>
                <w:rFonts w:ascii="Arial" w:hAnsi="Arial" w:eastAsia="仿宋_GB2312" w:cs="Arial"/>
                <w:sz w:val="24"/>
              </w:rPr>
              <w:sym w:font="Wingdings" w:char="00A8"/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 xml:space="preserve"> </w:t>
            </w:r>
            <w:r>
              <w:rPr>
                <w:rFonts w:ascii="Arial" w:hAnsi="Arial" w:eastAsia="仿宋_GB2312" w:cs="Arial"/>
                <w:sz w:val="24"/>
              </w:rPr>
              <w:t>普通发票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color w:val="FF0000"/>
          <w:spacing w:val="-20"/>
          <w:sz w:val="36"/>
          <w:szCs w:val="36"/>
        </w:rPr>
      </w:pPr>
    </w:p>
    <w:sectPr>
      <w:pgSz w:w="11906" w:h="16838"/>
      <w:pgMar w:top="820" w:right="84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55EB0D"/>
    <w:multiLevelType w:val="singleLevel"/>
    <w:tmpl w:val="FD55EB0D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40D347B"/>
    <w:multiLevelType w:val="singleLevel"/>
    <w:tmpl w:val="040D34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DA719B0"/>
    <w:multiLevelType w:val="singleLevel"/>
    <w:tmpl w:val="3DA719B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NGYxMzFhNTdlMzQ3NWM1MTYyZDU5YzdhODdjOWUifQ=="/>
  </w:docVars>
  <w:rsids>
    <w:rsidRoot w:val="0CEA44ED"/>
    <w:rsid w:val="03977E2B"/>
    <w:rsid w:val="0CEA44ED"/>
    <w:rsid w:val="1E1E4AEB"/>
    <w:rsid w:val="20383185"/>
    <w:rsid w:val="22941CAE"/>
    <w:rsid w:val="337E504A"/>
    <w:rsid w:val="39DB57CB"/>
    <w:rsid w:val="51680F14"/>
    <w:rsid w:val="54427E9B"/>
    <w:rsid w:val="55964135"/>
    <w:rsid w:val="6BE0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1174</Words>
  <Characters>1438</Characters>
  <Lines>0</Lines>
  <Paragraphs>0</Paragraphs>
  <TotalTime>0</TotalTime>
  <ScaleCrop>false</ScaleCrop>
  <LinksUpToDate>false</LinksUpToDate>
  <CharactersWithSpaces>1545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2024-03-11T06:53:00Z</dcterms:created>
  <dc:creator>xw</dc:creator>
  <cp:lastModifiedBy>xw</cp:lastModifiedBy>
  <dcterms:modified xsi:type="dcterms:W3CDTF">2024-03-13T06:04:46Z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0422ACE093C448DD8546ED6BFA243F69_11</vt:lpwstr>
  </property>
</Properties>
</file>